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E97BE">
      <w:pPr>
        <w:widowControl/>
        <w:shd w:val="clear" w:color="auto" w:fill="FFFFFF"/>
        <w:spacing w:after="115" w:line="240" w:lineRule="auto"/>
        <w:ind w:firstLine="276"/>
        <w:jc w:val="center"/>
        <w:rPr>
          <w:rFonts w:ascii="微软雅黑" w:hAnsi="微软雅黑" w:eastAsia="微软雅黑" w:cs="宋体"/>
          <w:color w:val="000000"/>
          <w:kern w:val="0"/>
          <w:sz w:val="44"/>
          <w:szCs w:val="44"/>
        </w:rPr>
      </w:pPr>
      <w:bookmarkStart w:id="0" w:name="_GoBack"/>
      <w:bookmarkEnd w:id="0"/>
      <w:r>
        <w:rPr>
          <w:rFonts w:hint="eastAsia" w:ascii="微软雅黑" w:hAnsi="微软雅黑" w:eastAsia="微软雅黑" w:cs="宋体"/>
          <w:color w:val="000000"/>
          <w:kern w:val="0"/>
          <w:sz w:val="44"/>
          <w:szCs w:val="44"/>
        </w:rPr>
        <w:t>建设工程造价纠纷调解工作制度</w:t>
      </w:r>
    </w:p>
    <w:p w14:paraId="2A840BF8">
      <w:pPr>
        <w:pStyle w:val="10"/>
        <w:widowControl/>
        <w:numPr>
          <w:ilvl w:val="0"/>
          <w:numId w:val="1"/>
        </w:numPr>
        <w:shd w:val="clear" w:color="auto" w:fill="FFFFFF"/>
        <w:spacing w:before="100" w:beforeAutospacing="1" w:after="100" w:afterAutospacing="1" w:line="276" w:lineRule="atLeast"/>
        <w:ind w:firstLineChars="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受理范围</w:t>
      </w:r>
    </w:p>
    <w:p w14:paraId="37C5DF49">
      <w:pPr>
        <w:pStyle w:val="10"/>
        <w:widowControl/>
        <w:shd w:val="clear" w:color="auto" w:fill="FFFFFF"/>
        <w:spacing w:before="100" w:beforeAutospacing="1" w:after="100" w:afterAutospacing="1" w:line="276" w:lineRule="atLeast"/>
        <w:ind w:left="690" w:firstLine="0" w:firstLineChars="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沈阳市行政区域内凡执行辽宁省市建设工程计价依据的建设工程项目，因对工程招标文件、合同约定、变更签证、定额执行、调整文件等不同认识引起的造价纠纷，双方共同申请，共同到造价管理部门调解。</w:t>
      </w:r>
    </w:p>
    <w:p w14:paraId="68497267">
      <w:pPr>
        <w:pStyle w:val="10"/>
        <w:widowControl/>
        <w:numPr>
          <w:ilvl w:val="0"/>
          <w:numId w:val="1"/>
        </w:numPr>
        <w:shd w:val="clear" w:color="auto" w:fill="FFFFFF"/>
        <w:spacing w:before="100" w:beforeAutospacing="1" w:after="100" w:afterAutospacing="1" w:line="276" w:lineRule="atLeast"/>
        <w:ind w:firstLineChars="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建设工程造价纠纷调解工作的相关依据</w:t>
      </w:r>
    </w:p>
    <w:p w14:paraId="3DC92C6F">
      <w:pPr>
        <w:pStyle w:val="10"/>
        <w:widowControl/>
        <w:shd w:val="clear" w:color="auto" w:fill="FFFFFF"/>
        <w:spacing w:before="100" w:beforeAutospacing="1" w:after="100" w:afterAutospacing="1" w:line="276" w:lineRule="atLeast"/>
        <w:ind w:left="690" w:firstLine="56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1．【规章】《建筑工程施工发包与承包计价管理办法》（住房和城乡建设部令第16号，2014年2月1日起执行）</w:t>
      </w:r>
    </w:p>
    <w:p w14:paraId="5A3FF40E">
      <w:pPr>
        <w:pStyle w:val="10"/>
        <w:widowControl/>
        <w:shd w:val="clear" w:color="auto" w:fill="FFFFFF"/>
        <w:spacing w:before="100" w:beforeAutospacing="1" w:after="100" w:afterAutospacing="1" w:line="276" w:lineRule="atLeast"/>
        <w:ind w:left="690" w:firstLine="56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第四条 国务院住房城乡建设主管部门负责全国工程发承包计价工作的管理。县级以上地方人民政府住房城乡建设主管部门负责本行政区域内工程发承包计价工作的管理。其具体工作可以委托工程造价管理机构负责。</w:t>
      </w:r>
    </w:p>
    <w:p w14:paraId="73F4472B">
      <w:pPr>
        <w:pStyle w:val="10"/>
        <w:widowControl/>
        <w:shd w:val="clear" w:color="auto" w:fill="FFFFFF"/>
        <w:spacing w:before="100" w:beforeAutospacing="1" w:after="100" w:afterAutospacing="1" w:line="276" w:lineRule="atLeast"/>
        <w:ind w:left="690" w:firstLine="56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第十八条 （三）承包方对发包方提出的工程造价咨询企业竣工结算审核意见有异议的，在接到该审核意见后一个月内，可以向有关工程造价管理机构或者有关行业组织申请调解，调解不成的，可以依法申请仲裁或者向人民法院提起诉讼。 </w:t>
      </w:r>
    </w:p>
    <w:p w14:paraId="721BE761">
      <w:pPr>
        <w:pStyle w:val="10"/>
        <w:widowControl/>
        <w:shd w:val="clear" w:color="auto" w:fill="FFFFFF"/>
        <w:spacing w:before="100" w:beforeAutospacing="1" w:after="100" w:afterAutospacing="1" w:line="276" w:lineRule="atLeast"/>
        <w:ind w:left="690" w:firstLine="56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2．【规章】《辽宁省建设工程造价管理办法》（辽宁省人民政府令第260号，2011年9月22日起执行）</w:t>
      </w:r>
    </w:p>
    <w:p w14:paraId="58615498">
      <w:pPr>
        <w:pStyle w:val="10"/>
        <w:widowControl/>
        <w:shd w:val="clear" w:color="auto" w:fill="FFFFFF"/>
        <w:spacing w:before="100" w:beforeAutospacing="1" w:after="100" w:afterAutospacing="1" w:line="276" w:lineRule="atLeast"/>
        <w:ind w:left="690" w:firstLine="56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第三十条 建设工程造价发生争议，经协商不能达成一致意见的，可以按照合同约定的方式提请调解。也可以依法申请仲裁或者向人民法院起诉。 </w:t>
      </w:r>
    </w:p>
    <w:p w14:paraId="492537EE">
      <w:pPr>
        <w:pStyle w:val="10"/>
        <w:widowControl/>
        <w:shd w:val="clear" w:color="auto" w:fill="FFFFFF"/>
        <w:spacing w:before="100" w:beforeAutospacing="1" w:after="100" w:afterAutospacing="1" w:line="276" w:lineRule="atLeast"/>
        <w:ind w:left="690" w:firstLine="56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3．【规范性文件】《建设工程工程量清单计价规范》（GB50500-2013住房和城乡建设部公告第1567号）</w:t>
      </w:r>
    </w:p>
    <w:p w14:paraId="63FF2E79">
      <w:pPr>
        <w:pStyle w:val="10"/>
        <w:widowControl/>
        <w:shd w:val="clear" w:color="auto" w:fill="FFFFFF"/>
        <w:spacing w:before="100" w:beforeAutospacing="1" w:after="100" w:afterAutospacing="1" w:line="276" w:lineRule="atLeast"/>
        <w:ind w:left="690" w:firstLine="56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第13.2.1条 发承包双方可就工程计价依据的争议以书面形式提请工程造价管理机构对争议以书面文件进行解释或认定。 </w:t>
      </w:r>
    </w:p>
    <w:p w14:paraId="306604B2">
      <w:pPr>
        <w:pStyle w:val="10"/>
        <w:widowControl/>
        <w:shd w:val="clear" w:color="auto" w:fill="FFFFFF"/>
        <w:spacing w:before="100" w:beforeAutospacing="1" w:after="100" w:afterAutospacing="1" w:line="276" w:lineRule="atLeast"/>
        <w:ind w:left="690" w:firstLine="56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4．【规范性文件】《关于颁布&lt;辽宁省建设工程工程量清单计价监督管理办法&gt;的通知》（辽建发[2004]26号）</w:t>
      </w:r>
    </w:p>
    <w:p w14:paraId="11517865">
      <w:pPr>
        <w:pStyle w:val="10"/>
        <w:widowControl/>
        <w:shd w:val="clear" w:color="auto" w:fill="FFFFFF"/>
        <w:spacing w:before="100" w:beforeAutospacing="1" w:after="100" w:afterAutospacing="1" w:line="276" w:lineRule="atLeast"/>
        <w:ind w:left="690" w:firstLine="0" w:firstLineChars="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第二十八条 合同双方当事人发生纠纷时，可通过下列办法解决。（一）双方协商解决。（二）按合同争议条款的约定提请当地工程造价管理部门调解。（三）向仲裁机构申请仲裁或向人民法院提起诉讼。在合同纠纷案件审理中，需要工程造价鉴定的，由各级工程造价管理部门负责或委托甲、乙级工程造价咨询单位进行鉴定。</w:t>
      </w:r>
    </w:p>
    <w:p w14:paraId="04709636">
      <w:pPr>
        <w:spacing w:after="0"/>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5． 《辽宁省建设工程造价争议、纠纷行政调解工作制度》（辽建价发[2009]7号）(依据全文进行工作)</w:t>
      </w:r>
    </w:p>
    <w:p w14:paraId="3674D8B2">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三、申请工程造价纠纷行政调解须提供以下资料：</w:t>
      </w:r>
    </w:p>
    <w:p w14:paraId="47DC8EC2">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1．造价纠纷当事人双方共同申请调解的申请;</w:t>
      </w:r>
    </w:p>
    <w:p w14:paraId="77F582D4">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2．造价纠纷当事人双方各自的意见及举证材料;</w:t>
      </w:r>
    </w:p>
    <w:p w14:paraId="1C55B7CB">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3．施工图;</w:t>
      </w:r>
    </w:p>
    <w:p w14:paraId="5B1BBDA6">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4．招标文件、投标文件;</w:t>
      </w:r>
    </w:p>
    <w:p w14:paraId="4758AFB0">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5．施工合同及其补充协议数、会议纪要、设计变更等;</w:t>
      </w:r>
    </w:p>
    <w:p w14:paraId="1050FEC5">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6．造价纠纷当事人共同确认的施工签证等计价资料;</w:t>
      </w:r>
    </w:p>
    <w:p w14:paraId="34B9311A">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7．工程造价咨询单位针对工程造价纠纷当事人双方分歧，提出的书面意见。</w:t>
      </w:r>
    </w:p>
    <w:p w14:paraId="6DCB2D45">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8．其他资料（涉及工程</w:t>
      </w:r>
      <w:r>
        <w:rPr>
          <w:rFonts w:hint="eastAsia" w:ascii="微软雅黑" w:hAnsi="微软雅黑" w:eastAsia="微软雅黑" w:cs="宋体"/>
          <w:color w:val="000000"/>
          <w:kern w:val="0"/>
          <w:sz w:val="28"/>
          <w:szCs w:val="28"/>
          <w:lang w:eastAsia="zh-CN"/>
        </w:rPr>
        <w:t>纠纷</w:t>
      </w:r>
      <w:r>
        <w:rPr>
          <w:rFonts w:hint="eastAsia" w:ascii="微软雅黑" w:hAnsi="微软雅黑" w:eastAsia="微软雅黑" w:cs="宋体"/>
          <w:color w:val="000000"/>
          <w:kern w:val="0"/>
          <w:sz w:val="28"/>
          <w:szCs w:val="28"/>
        </w:rPr>
        <w:t xml:space="preserve">调节的有效资料）。   </w:t>
      </w:r>
    </w:p>
    <w:p w14:paraId="19D49BE9">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四、行政调解持流程</w:t>
      </w:r>
    </w:p>
    <w:p w14:paraId="1FB583B6">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1、工程造价纠纷当事人双方持相关资料到沈阳市建设工程造价站提出预约办理申请（受理：电话预约、现场预约；受理时限：即时办理）;</w:t>
      </w:r>
    </w:p>
    <w:p w14:paraId="13F8B350">
      <w:pPr>
        <w:widowControl/>
        <w:shd w:val="clear" w:color="auto" w:fill="FFFFFF"/>
        <w:spacing w:before="100" w:beforeAutospacing="1" w:after="100" w:afterAutospacing="1" w:line="276" w:lineRule="atLeast"/>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2、造价站行政调解人员听取双方意见，查看施工合同、签证及施工图纸，必要时去施工现场勘察、核实。受理人员：业务工作人员</w:t>
      </w:r>
      <w:r>
        <w:rPr>
          <w:rFonts w:ascii="微软雅黑" w:hAnsi="微软雅黑" w:eastAsia="微软雅黑" w:cs="宋体"/>
          <w:color w:val="000000"/>
          <w:kern w:val="0"/>
          <w:sz w:val="28"/>
          <w:szCs w:val="28"/>
        </w:rPr>
        <w:br w:type="textWrapping"/>
      </w:r>
      <w:r>
        <w:rPr>
          <w:rFonts w:hint="eastAsia"/>
        </w:rPr>
        <w:t xml:space="preserve">        </w:t>
      </w:r>
      <w:r>
        <w:rPr>
          <w:rFonts w:hint="eastAsia" w:ascii="微软雅黑" w:hAnsi="微软雅黑" w:eastAsia="微软雅黑" w:cs="宋体"/>
          <w:color w:val="000000"/>
          <w:kern w:val="0"/>
          <w:sz w:val="28"/>
          <w:szCs w:val="28"/>
        </w:rPr>
        <w:t>3、受理后，行政调解人员依据先行计价依据及相关政策给出调解意见，并告知造价纠纷当事人双方；超越现行计价依据范围的，明确告知当事人双方，受理完结。如不认同调解意见，可帮助调节当事人双方联系省级造价主管部门，进一步调节（省级主管部门具有最终解释权）。</w:t>
      </w:r>
    </w:p>
    <w:p w14:paraId="0FD43C9E">
      <w:pPr>
        <w:widowControl/>
        <w:shd w:val="clear" w:color="auto" w:fill="FFFFFF"/>
        <w:spacing w:before="100" w:beforeAutospacing="1" w:after="100" w:afterAutospacing="1" w:line="276" w:lineRule="atLeast"/>
        <w:ind w:firstLine="315"/>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五、建设工程造价纠纷调解工作人员在受理工作过程中，要耐心解答、举止文明、记录解答意见。不得在解答过程中接受纠纷调解申请人员或单位利益诱惑，拒绝“吃、拿、卡、要”。</w:t>
      </w:r>
    </w:p>
    <w:p w14:paraId="38488A8A">
      <w:pPr>
        <w:rPr>
          <w:rFonts w:ascii="微软雅黑" w:hAnsi="微软雅黑" w:eastAsia="微软雅黑" w:cs="宋体"/>
          <w:color w:val="000000"/>
          <w:kern w:val="0"/>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120" w:lineRule="auto"/>
      </w:pPr>
      <w:r>
        <w:separator/>
      </w:r>
    </w:p>
  </w:footnote>
  <w:footnote w:type="continuationSeparator" w:id="1">
    <w:p>
      <w:pPr>
        <w:spacing w:before="0" w:after="0" w:line="12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5E2398"/>
    <w:multiLevelType w:val="multilevel"/>
    <w:tmpl w:val="5A5E2398"/>
    <w:lvl w:ilvl="0" w:tentative="0">
      <w:start w:val="1"/>
      <w:numFmt w:val="japaneseCounting"/>
      <w:lvlText w:val="%1、"/>
      <w:lvlJc w:val="left"/>
      <w:pPr>
        <w:ind w:left="690" w:hanging="360"/>
      </w:pPr>
      <w:rPr>
        <w:rFonts w:hint="default"/>
      </w:rPr>
    </w:lvl>
    <w:lvl w:ilvl="1" w:tentative="0">
      <w:start w:val="1"/>
      <w:numFmt w:val="lowerLetter"/>
      <w:lvlText w:val="%2)"/>
      <w:lvlJc w:val="left"/>
      <w:pPr>
        <w:ind w:left="1170" w:hanging="420"/>
      </w:pPr>
    </w:lvl>
    <w:lvl w:ilvl="2" w:tentative="0">
      <w:start w:val="1"/>
      <w:numFmt w:val="lowerRoman"/>
      <w:lvlText w:val="%3."/>
      <w:lvlJc w:val="right"/>
      <w:pPr>
        <w:ind w:left="1590" w:hanging="420"/>
      </w:pPr>
    </w:lvl>
    <w:lvl w:ilvl="3" w:tentative="0">
      <w:start w:val="1"/>
      <w:numFmt w:val="decimal"/>
      <w:lvlText w:val="%4."/>
      <w:lvlJc w:val="left"/>
      <w:pPr>
        <w:ind w:left="2010" w:hanging="420"/>
      </w:pPr>
    </w:lvl>
    <w:lvl w:ilvl="4" w:tentative="0">
      <w:start w:val="1"/>
      <w:numFmt w:val="lowerLetter"/>
      <w:lvlText w:val="%5)"/>
      <w:lvlJc w:val="left"/>
      <w:pPr>
        <w:ind w:left="2430" w:hanging="420"/>
      </w:pPr>
    </w:lvl>
    <w:lvl w:ilvl="5" w:tentative="0">
      <w:start w:val="1"/>
      <w:numFmt w:val="lowerRoman"/>
      <w:lvlText w:val="%6."/>
      <w:lvlJc w:val="right"/>
      <w:pPr>
        <w:ind w:left="2850" w:hanging="420"/>
      </w:pPr>
    </w:lvl>
    <w:lvl w:ilvl="6" w:tentative="0">
      <w:start w:val="1"/>
      <w:numFmt w:val="decimal"/>
      <w:lvlText w:val="%7."/>
      <w:lvlJc w:val="left"/>
      <w:pPr>
        <w:ind w:left="3270" w:hanging="420"/>
      </w:pPr>
    </w:lvl>
    <w:lvl w:ilvl="7" w:tentative="0">
      <w:start w:val="1"/>
      <w:numFmt w:val="lowerLetter"/>
      <w:lvlText w:val="%8)"/>
      <w:lvlJc w:val="left"/>
      <w:pPr>
        <w:ind w:left="3690" w:hanging="420"/>
      </w:pPr>
    </w:lvl>
    <w:lvl w:ilvl="8" w:tentative="0">
      <w:start w:val="1"/>
      <w:numFmt w:val="lowerRoman"/>
      <w:lvlText w:val="%9."/>
      <w:lvlJc w:val="right"/>
      <w:pPr>
        <w:ind w:left="41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94B08"/>
    <w:rsid w:val="000257F5"/>
    <w:rsid w:val="00067954"/>
    <w:rsid w:val="00102EE6"/>
    <w:rsid w:val="001F3BFA"/>
    <w:rsid w:val="002528D7"/>
    <w:rsid w:val="00255311"/>
    <w:rsid w:val="002A1909"/>
    <w:rsid w:val="002E205F"/>
    <w:rsid w:val="00337F0F"/>
    <w:rsid w:val="003E295F"/>
    <w:rsid w:val="0040544E"/>
    <w:rsid w:val="005C77F8"/>
    <w:rsid w:val="006212E5"/>
    <w:rsid w:val="00694B08"/>
    <w:rsid w:val="00763161"/>
    <w:rsid w:val="0078172C"/>
    <w:rsid w:val="007E40EA"/>
    <w:rsid w:val="008C5B87"/>
    <w:rsid w:val="009327E3"/>
    <w:rsid w:val="009E4A6C"/>
    <w:rsid w:val="00A001EA"/>
    <w:rsid w:val="00AE19BC"/>
    <w:rsid w:val="00BD38D0"/>
    <w:rsid w:val="00BE510E"/>
    <w:rsid w:val="00D9287E"/>
    <w:rsid w:val="00E05E00"/>
    <w:rsid w:val="00EF21DB"/>
    <w:rsid w:val="00F57524"/>
    <w:rsid w:val="00FC4F83"/>
    <w:rsid w:val="4B1D2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38" w:line="120"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spacing w:line="240" w:lineRule="auto"/>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4">
    <w:name w:val="Normal (Web)"/>
    <w:basedOn w:val="1"/>
    <w:semiHidden/>
    <w:unhideWhenUsed/>
    <w:uiPriority w:val="99"/>
    <w:pPr>
      <w:widowControl/>
      <w:spacing w:before="100" w:beforeAutospacing="1" w:after="100" w:afterAutospacing="1" w:line="240" w:lineRule="auto"/>
      <w:jc w:val="left"/>
    </w:pPr>
    <w:rPr>
      <w:rFonts w:ascii="宋体" w:hAnsi="宋体" w:eastAsia="宋体" w:cs="宋体"/>
      <w:kern w:val="0"/>
      <w:sz w:val="24"/>
      <w:szCs w:val="24"/>
    </w:rPr>
  </w:style>
  <w:style w:type="character" w:styleId="7">
    <w:name w:val="Hyperlink"/>
    <w:basedOn w:val="6"/>
    <w:semiHidden/>
    <w:unhideWhenUsed/>
    <w:uiPriority w:val="99"/>
    <w:rPr>
      <w:color w:val="0000FF"/>
      <w:u w:val="single"/>
    </w:rPr>
  </w:style>
  <w:style w:type="character" w:customStyle="1" w:styleId="8">
    <w:name w:val="页眉 Char"/>
    <w:basedOn w:val="6"/>
    <w:link w:val="3"/>
    <w:semiHidden/>
    <w:uiPriority w:val="99"/>
    <w:rPr>
      <w:sz w:val="18"/>
      <w:szCs w:val="18"/>
    </w:rPr>
  </w:style>
  <w:style w:type="character" w:customStyle="1" w:styleId="9">
    <w:name w:val="页脚 Char"/>
    <w:basedOn w:val="6"/>
    <w:link w:val="2"/>
    <w:semiHidden/>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1325</Words>
  <Characters>1367</Characters>
  <Lines>10</Lines>
  <Paragraphs>2</Paragraphs>
  <TotalTime>1181</TotalTime>
  <ScaleCrop>false</ScaleCrop>
  <LinksUpToDate>false</LinksUpToDate>
  <CharactersWithSpaces>1461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2020-09-09T05:39:00Z</dcterms:created>
  <dc:creator>tianhongjie</dc:creator>
  <cp:lastModifiedBy> annie</cp:lastModifiedBy>
  <dcterms:modified xsi:type="dcterms:W3CDTF">2026-01-19T11:58:51Z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eyJoZGlkIjoiYTdkYmY1OGE2YWY5N2ZiNzEyN2QxZjY0YzE0ZjYyNTMiLCJ1c2VySWQiOiI2Nzg1MTcxNjEifQ==</vt:lpwstr>
  </property>
  <property fmtid="{D5CDD505-2E9C-101B-9397-08002B2CF9AE}" pid="3" name="KSOProductBuildVer">
    <vt:lpwstr>2052-12.1.0.24657</vt:lpwstr>
  </property>
  <property fmtid="{D5CDD505-2E9C-101B-9397-08002B2CF9AE}" pid="4" name="ICV">
    <vt:lpwstr>A76E6EA660C84FCFB044CF7DE79CB724_12</vt:lpwstr>
  </property>
</Properties>
</file>